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509" w:type="dxa"/>
        <w:tblLook w:val="04A0" w:firstRow="1" w:lastRow="0" w:firstColumn="1" w:lastColumn="0" w:noHBand="0" w:noVBand="1"/>
      </w:tblPr>
      <w:tblGrid>
        <w:gridCol w:w="7171"/>
        <w:gridCol w:w="6338"/>
      </w:tblGrid>
      <w:tr w:rsidR="00086A68" w:rsidRPr="002A757D" w14:paraId="5CEA34B5" w14:textId="743131DB" w:rsidTr="00086A68">
        <w:tc>
          <w:tcPr>
            <w:tcW w:w="7171" w:type="dxa"/>
            <w:shd w:val="clear" w:color="auto" w:fill="FFC000"/>
          </w:tcPr>
          <w:p w14:paraId="3C1A6D91" w14:textId="77777777" w:rsidR="00086A68" w:rsidRPr="002A757D" w:rsidRDefault="00086A68" w:rsidP="008230F6">
            <w:pPr>
              <w:spacing w:before="60" w:after="60"/>
              <w:rPr>
                <w:rFonts w:asciiTheme="minorHAnsi" w:hAnsiTheme="minorHAnsi" w:cstheme="minorHAnsi"/>
              </w:rPr>
            </w:pPr>
            <w:bookmarkStart w:id="0" w:name="_GoBack"/>
            <w:bookmarkEnd w:id="0"/>
            <w:r w:rsidRPr="002A757D">
              <w:rPr>
                <w:rFonts w:asciiTheme="minorHAnsi" w:hAnsiTheme="minorHAnsi" w:cstheme="minorHAnsi"/>
              </w:rPr>
              <w:t>Teaching and Learning</w:t>
            </w:r>
          </w:p>
        </w:tc>
        <w:tc>
          <w:tcPr>
            <w:tcW w:w="6338" w:type="dxa"/>
            <w:shd w:val="clear" w:color="auto" w:fill="FFC000"/>
          </w:tcPr>
          <w:p w14:paraId="1E528B22" w14:textId="5E1B4363" w:rsidR="00086A68" w:rsidRPr="002A757D" w:rsidRDefault="00086A68" w:rsidP="008230F6">
            <w:pPr>
              <w:spacing w:before="60" w:after="60"/>
              <w:rPr>
                <w:rFonts w:asciiTheme="minorHAnsi" w:hAnsiTheme="minorHAnsi" w:cstheme="minorHAnsi"/>
              </w:rPr>
            </w:pPr>
            <w:r>
              <w:rPr>
                <w:rFonts w:asciiTheme="minorHAnsi" w:hAnsiTheme="minorHAnsi" w:cstheme="minorHAnsi"/>
              </w:rPr>
              <w:t>Evidence</w:t>
            </w:r>
          </w:p>
        </w:tc>
      </w:tr>
      <w:tr w:rsidR="00086A68" w:rsidRPr="002A757D" w14:paraId="0AB952A6" w14:textId="5FB05278" w:rsidTr="00086A68">
        <w:trPr>
          <w:cantSplit/>
          <w:trHeight w:val="1228"/>
        </w:trPr>
        <w:tc>
          <w:tcPr>
            <w:tcW w:w="7171" w:type="dxa"/>
            <w:shd w:val="clear" w:color="auto" w:fill="F2F2F2" w:themeFill="background1" w:themeFillShade="F2"/>
          </w:tcPr>
          <w:p w14:paraId="11307305"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1.1 A culture that values and supports the learning and wellbeing of all learners (called an “inclusive ethos”).</w:t>
            </w:r>
          </w:p>
        </w:tc>
        <w:tc>
          <w:tcPr>
            <w:tcW w:w="6338" w:type="dxa"/>
            <w:shd w:val="clear" w:color="auto" w:fill="F2F2F2" w:themeFill="background1" w:themeFillShade="F2"/>
          </w:tcPr>
          <w:p w14:paraId="0A58AB80" w14:textId="77777777" w:rsidR="00086A68" w:rsidRPr="002A757D" w:rsidRDefault="00086A68" w:rsidP="008230F6">
            <w:pPr>
              <w:rPr>
                <w:rFonts w:asciiTheme="minorHAnsi" w:hAnsiTheme="minorHAnsi" w:cstheme="minorHAnsi"/>
              </w:rPr>
            </w:pPr>
          </w:p>
        </w:tc>
      </w:tr>
      <w:tr w:rsidR="00086A68" w:rsidRPr="002A757D" w14:paraId="0108C8F8" w14:textId="06B8022E" w:rsidTr="00086A68">
        <w:trPr>
          <w:cantSplit/>
          <w:trHeight w:val="1415"/>
        </w:trPr>
        <w:tc>
          <w:tcPr>
            <w:tcW w:w="7171" w:type="dxa"/>
            <w:shd w:val="clear" w:color="auto" w:fill="F2F2F2" w:themeFill="background1" w:themeFillShade="F2"/>
          </w:tcPr>
          <w:p w14:paraId="75A61F39"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1.2 Learners experience a positive environment and generally receive praise linked to specific actions.</w:t>
            </w:r>
          </w:p>
        </w:tc>
        <w:tc>
          <w:tcPr>
            <w:tcW w:w="6338" w:type="dxa"/>
            <w:shd w:val="clear" w:color="auto" w:fill="F2F2F2" w:themeFill="background1" w:themeFillShade="F2"/>
          </w:tcPr>
          <w:p w14:paraId="5C38466C" w14:textId="77777777" w:rsidR="00086A68" w:rsidRPr="002A757D" w:rsidRDefault="00086A68" w:rsidP="008230F6">
            <w:pPr>
              <w:rPr>
                <w:rFonts w:asciiTheme="minorHAnsi" w:hAnsiTheme="minorHAnsi" w:cstheme="minorHAnsi"/>
              </w:rPr>
            </w:pPr>
          </w:p>
        </w:tc>
      </w:tr>
      <w:tr w:rsidR="00086A68" w:rsidRPr="002A757D" w14:paraId="4406A3AB" w14:textId="75F28169" w:rsidTr="00086A68">
        <w:trPr>
          <w:cantSplit/>
          <w:trHeight w:val="1359"/>
        </w:trPr>
        <w:tc>
          <w:tcPr>
            <w:tcW w:w="7171" w:type="dxa"/>
            <w:shd w:val="clear" w:color="auto" w:fill="F2F2F2" w:themeFill="background1" w:themeFillShade="F2"/>
          </w:tcPr>
          <w:p w14:paraId="68E56954"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1.3 Staff to promote a culture of emotional well-being.</w:t>
            </w:r>
          </w:p>
        </w:tc>
        <w:tc>
          <w:tcPr>
            <w:tcW w:w="6338" w:type="dxa"/>
            <w:shd w:val="clear" w:color="auto" w:fill="F2F2F2" w:themeFill="background1" w:themeFillShade="F2"/>
          </w:tcPr>
          <w:p w14:paraId="735B93B9" w14:textId="77777777" w:rsidR="00086A68" w:rsidRPr="002A757D" w:rsidRDefault="00086A68" w:rsidP="008230F6">
            <w:pPr>
              <w:rPr>
                <w:rFonts w:asciiTheme="minorHAnsi" w:hAnsiTheme="minorHAnsi" w:cstheme="minorHAnsi"/>
              </w:rPr>
            </w:pPr>
          </w:p>
        </w:tc>
      </w:tr>
      <w:tr w:rsidR="00086A68" w:rsidRPr="002A757D" w14:paraId="22EE151C" w14:textId="1B3F26B5" w:rsidTr="00086A68">
        <w:trPr>
          <w:cantSplit/>
          <w:trHeight w:val="1407"/>
        </w:trPr>
        <w:tc>
          <w:tcPr>
            <w:tcW w:w="7171" w:type="dxa"/>
            <w:shd w:val="clear" w:color="auto" w:fill="F2F2F2" w:themeFill="background1" w:themeFillShade="F2"/>
          </w:tcPr>
          <w:p w14:paraId="17B20171"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1.4 Staff will undertake an analysis of learner’s skills to identify learner’s needs and identify appropriate courses.</w:t>
            </w:r>
          </w:p>
        </w:tc>
        <w:tc>
          <w:tcPr>
            <w:tcW w:w="6338" w:type="dxa"/>
            <w:shd w:val="clear" w:color="auto" w:fill="F2F2F2" w:themeFill="background1" w:themeFillShade="F2"/>
          </w:tcPr>
          <w:p w14:paraId="60BCA307" w14:textId="77777777" w:rsidR="00086A68" w:rsidRPr="002A757D" w:rsidRDefault="00086A68" w:rsidP="008230F6">
            <w:pPr>
              <w:rPr>
                <w:rFonts w:asciiTheme="minorHAnsi" w:hAnsiTheme="minorHAnsi" w:cstheme="minorHAnsi"/>
              </w:rPr>
            </w:pPr>
          </w:p>
        </w:tc>
      </w:tr>
      <w:tr w:rsidR="00086A68" w:rsidRPr="002A757D" w14:paraId="1A93EBA3" w14:textId="3FC72300" w:rsidTr="00086A68">
        <w:trPr>
          <w:cantSplit/>
          <w:trHeight w:val="1134"/>
        </w:trPr>
        <w:tc>
          <w:tcPr>
            <w:tcW w:w="7171" w:type="dxa"/>
            <w:shd w:val="clear" w:color="auto" w:fill="F2F2F2" w:themeFill="background1" w:themeFillShade="F2"/>
          </w:tcPr>
          <w:p w14:paraId="5048F961"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1.5 Regular access to practical, hands-on activities in the classroom to help them learn (where applicable to the needs of the learner) the demands of the course and if necessary, access will be relevant to Preparing for Adulthood; employment, independent living, community inclusion and health.</w:t>
            </w:r>
          </w:p>
        </w:tc>
        <w:tc>
          <w:tcPr>
            <w:tcW w:w="6338" w:type="dxa"/>
            <w:shd w:val="clear" w:color="auto" w:fill="F2F2F2" w:themeFill="background1" w:themeFillShade="F2"/>
          </w:tcPr>
          <w:p w14:paraId="5596A093" w14:textId="77777777" w:rsidR="00086A68" w:rsidRPr="002A757D" w:rsidRDefault="00086A68" w:rsidP="008230F6">
            <w:pPr>
              <w:rPr>
                <w:rFonts w:asciiTheme="minorHAnsi" w:hAnsiTheme="minorHAnsi" w:cstheme="minorHAnsi"/>
              </w:rPr>
            </w:pPr>
          </w:p>
        </w:tc>
      </w:tr>
      <w:tr w:rsidR="00086A68" w:rsidRPr="002A757D" w14:paraId="4129D8EA" w14:textId="0E9AFE9F" w:rsidTr="00086A68">
        <w:trPr>
          <w:cantSplit/>
          <w:trHeight w:val="1134"/>
        </w:trPr>
        <w:tc>
          <w:tcPr>
            <w:tcW w:w="7171" w:type="dxa"/>
            <w:shd w:val="clear" w:color="auto" w:fill="F2F2F2" w:themeFill="background1" w:themeFillShade="F2"/>
          </w:tcPr>
          <w:p w14:paraId="11B1CE00" w14:textId="15A8ED6E" w:rsidR="00086A68" w:rsidRDefault="00086A68" w:rsidP="008230F6">
            <w:pPr>
              <w:rPr>
                <w:rFonts w:asciiTheme="minorHAnsi" w:hAnsiTheme="minorHAnsi" w:cstheme="minorHAnsi"/>
              </w:rPr>
            </w:pPr>
            <w:r w:rsidRPr="002A757D">
              <w:rPr>
                <w:rFonts w:asciiTheme="minorHAnsi" w:hAnsiTheme="minorHAnsi" w:cstheme="minorHAnsi"/>
              </w:rPr>
              <w:t>1.6 Activities, materials, and communication which take into account their individual needs and interests (this is called “differentiated learning”). Classroom arrangements which ensure they have enough time to complete work.</w:t>
            </w:r>
          </w:p>
          <w:p w14:paraId="6325EE0A" w14:textId="681F3E9C" w:rsidR="00086A68" w:rsidRPr="002A757D" w:rsidRDefault="00086A68" w:rsidP="008230F6">
            <w:pPr>
              <w:rPr>
                <w:rFonts w:asciiTheme="minorHAnsi" w:hAnsiTheme="minorHAnsi" w:cstheme="minorHAnsi"/>
              </w:rPr>
            </w:pPr>
          </w:p>
        </w:tc>
        <w:tc>
          <w:tcPr>
            <w:tcW w:w="6338" w:type="dxa"/>
            <w:shd w:val="clear" w:color="auto" w:fill="F2F2F2" w:themeFill="background1" w:themeFillShade="F2"/>
          </w:tcPr>
          <w:p w14:paraId="6B26DDB8" w14:textId="77777777" w:rsidR="00086A68" w:rsidRPr="002A757D" w:rsidRDefault="00086A68" w:rsidP="008230F6">
            <w:pPr>
              <w:rPr>
                <w:rFonts w:asciiTheme="minorHAnsi" w:hAnsiTheme="minorHAnsi" w:cstheme="minorHAnsi"/>
              </w:rPr>
            </w:pPr>
          </w:p>
        </w:tc>
      </w:tr>
      <w:tr w:rsidR="00086A68" w:rsidRPr="002A757D" w14:paraId="5C732729" w14:textId="4D14D261" w:rsidTr="00086A68">
        <w:trPr>
          <w:cantSplit/>
          <w:trHeight w:val="416"/>
        </w:trPr>
        <w:tc>
          <w:tcPr>
            <w:tcW w:w="7171" w:type="dxa"/>
            <w:shd w:val="clear" w:color="auto" w:fill="FFC000"/>
          </w:tcPr>
          <w:p w14:paraId="49805CC1" w14:textId="50FC4D7E" w:rsidR="00086A68" w:rsidRPr="002A757D" w:rsidRDefault="00086A68" w:rsidP="008230F6">
            <w:pPr>
              <w:rPr>
                <w:rFonts w:asciiTheme="minorHAnsi" w:hAnsiTheme="minorHAnsi" w:cstheme="minorHAnsi"/>
              </w:rPr>
            </w:pPr>
            <w:r w:rsidRPr="002A757D">
              <w:rPr>
                <w:rFonts w:asciiTheme="minorHAnsi" w:hAnsiTheme="minorHAnsi" w:cstheme="minorHAnsi"/>
              </w:rPr>
              <w:lastRenderedPageBreak/>
              <w:t>Physical Environment</w:t>
            </w:r>
          </w:p>
        </w:tc>
        <w:tc>
          <w:tcPr>
            <w:tcW w:w="6338" w:type="dxa"/>
            <w:shd w:val="clear" w:color="auto" w:fill="FFC000"/>
          </w:tcPr>
          <w:p w14:paraId="32D7BAB7" w14:textId="120CF342" w:rsidR="00086A68" w:rsidRPr="002A757D" w:rsidRDefault="00086A68" w:rsidP="008230F6">
            <w:pPr>
              <w:rPr>
                <w:rFonts w:asciiTheme="minorHAnsi" w:hAnsiTheme="minorHAnsi" w:cstheme="minorHAnsi"/>
              </w:rPr>
            </w:pPr>
            <w:r>
              <w:rPr>
                <w:rFonts w:asciiTheme="minorHAnsi" w:hAnsiTheme="minorHAnsi" w:cstheme="minorHAnsi"/>
              </w:rPr>
              <w:t>Evidence</w:t>
            </w:r>
          </w:p>
        </w:tc>
      </w:tr>
      <w:tr w:rsidR="00086A68" w:rsidRPr="002A757D" w14:paraId="125F4A97" w14:textId="1922D267" w:rsidTr="00086A68">
        <w:trPr>
          <w:cantSplit/>
          <w:trHeight w:val="1134"/>
        </w:trPr>
        <w:tc>
          <w:tcPr>
            <w:tcW w:w="7171" w:type="dxa"/>
            <w:shd w:val="clear" w:color="auto" w:fill="F2F2F2" w:themeFill="background1" w:themeFillShade="F2"/>
          </w:tcPr>
          <w:p w14:paraId="4CC3E61A"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1.7 A user- and access-friendly environment which take into account the needs of learners with SEND, for example access and seating arrangements. This promotes “total accessibility for all”.</w:t>
            </w:r>
          </w:p>
        </w:tc>
        <w:tc>
          <w:tcPr>
            <w:tcW w:w="6338" w:type="dxa"/>
            <w:shd w:val="clear" w:color="auto" w:fill="F2F2F2" w:themeFill="background1" w:themeFillShade="F2"/>
          </w:tcPr>
          <w:p w14:paraId="67EE7DAD" w14:textId="77777777" w:rsidR="00086A68" w:rsidRPr="002A757D" w:rsidRDefault="00086A68" w:rsidP="008230F6">
            <w:pPr>
              <w:rPr>
                <w:rFonts w:asciiTheme="minorHAnsi" w:hAnsiTheme="minorHAnsi" w:cstheme="minorHAnsi"/>
              </w:rPr>
            </w:pPr>
          </w:p>
        </w:tc>
      </w:tr>
      <w:tr w:rsidR="00086A68" w:rsidRPr="002A757D" w14:paraId="4EDA7ECD" w14:textId="435841E5" w:rsidTr="00086A68">
        <w:trPr>
          <w:cantSplit/>
          <w:trHeight w:val="1134"/>
        </w:trPr>
        <w:tc>
          <w:tcPr>
            <w:tcW w:w="7171" w:type="dxa"/>
            <w:shd w:val="clear" w:color="auto" w:fill="F2F2F2" w:themeFill="background1" w:themeFillShade="F2"/>
          </w:tcPr>
          <w:p w14:paraId="33473C21"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1.8 Active, meaningful use of extra supports for learning in the classroom, for example, augmentative assistive communication.</w:t>
            </w:r>
          </w:p>
        </w:tc>
        <w:tc>
          <w:tcPr>
            <w:tcW w:w="6338" w:type="dxa"/>
            <w:shd w:val="clear" w:color="auto" w:fill="F2F2F2" w:themeFill="background1" w:themeFillShade="F2"/>
          </w:tcPr>
          <w:p w14:paraId="2BE4C52F" w14:textId="77777777" w:rsidR="00086A68" w:rsidRPr="002A757D" w:rsidRDefault="00086A68" w:rsidP="008230F6">
            <w:pPr>
              <w:rPr>
                <w:rFonts w:asciiTheme="minorHAnsi" w:hAnsiTheme="minorHAnsi" w:cstheme="minorHAnsi"/>
              </w:rPr>
            </w:pPr>
          </w:p>
        </w:tc>
      </w:tr>
      <w:tr w:rsidR="00086A68" w:rsidRPr="002A757D" w14:paraId="6D3B2F04" w14:textId="026D717F" w:rsidTr="00086A68">
        <w:trPr>
          <w:cantSplit/>
          <w:trHeight w:val="1134"/>
        </w:trPr>
        <w:tc>
          <w:tcPr>
            <w:tcW w:w="7171" w:type="dxa"/>
            <w:shd w:val="clear" w:color="auto" w:fill="F2F2F2" w:themeFill="background1" w:themeFillShade="F2"/>
          </w:tcPr>
          <w:p w14:paraId="2CDB1ED9"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1.9 Access to the provision of some quiet areas in school/college.</w:t>
            </w:r>
          </w:p>
        </w:tc>
        <w:tc>
          <w:tcPr>
            <w:tcW w:w="6338" w:type="dxa"/>
            <w:shd w:val="clear" w:color="auto" w:fill="F2F2F2" w:themeFill="background1" w:themeFillShade="F2"/>
          </w:tcPr>
          <w:p w14:paraId="3BA7CB4F" w14:textId="77777777" w:rsidR="00086A68" w:rsidRPr="002A757D" w:rsidRDefault="00086A68" w:rsidP="008230F6">
            <w:pPr>
              <w:rPr>
                <w:rFonts w:asciiTheme="minorHAnsi" w:hAnsiTheme="minorHAnsi" w:cstheme="minorHAnsi"/>
              </w:rPr>
            </w:pPr>
          </w:p>
        </w:tc>
      </w:tr>
    </w:tbl>
    <w:p w14:paraId="753D6AEC" w14:textId="77777777" w:rsidR="006F60E2" w:rsidRDefault="006F60E2"/>
    <w:tbl>
      <w:tblPr>
        <w:tblStyle w:val="TableGrid"/>
        <w:tblW w:w="13509" w:type="dxa"/>
        <w:tblLook w:val="04A0" w:firstRow="1" w:lastRow="0" w:firstColumn="1" w:lastColumn="0" w:noHBand="0" w:noVBand="1"/>
      </w:tblPr>
      <w:tblGrid>
        <w:gridCol w:w="7171"/>
        <w:gridCol w:w="6338"/>
      </w:tblGrid>
      <w:tr w:rsidR="00086A68" w:rsidRPr="002A757D" w14:paraId="369C483B" w14:textId="2F2F7C0E" w:rsidTr="006F60E2">
        <w:trPr>
          <w:cantSplit/>
          <w:trHeight w:val="367"/>
          <w:tblHeader/>
        </w:trPr>
        <w:tc>
          <w:tcPr>
            <w:tcW w:w="7171" w:type="dxa"/>
            <w:shd w:val="clear" w:color="auto" w:fill="FFC000"/>
          </w:tcPr>
          <w:p w14:paraId="75E6E997"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Staffing</w:t>
            </w:r>
          </w:p>
        </w:tc>
        <w:tc>
          <w:tcPr>
            <w:tcW w:w="6338" w:type="dxa"/>
            <w:shd w:val="clear" w:color="auto" w:fill="FFC000"/>
          </w:tcPr>
          <w:p w14:paraId="4BB6F436" w14:textId="15DCF71B" w:rsidR="00086A68" w:rsidRPr="002A757D" w:rsidRDefault="00086A68" w:rsidP="008230F6">
            <w:pPr>
              <w:rPr>
                <w:rFonts w:asciiTheme="minorHAnsi" w:hAnsiTheme="minorHAnsi" w:cstheme="minorHAnsi"/>
              </w:rPr>
            </w:pPr>
            <w:r>
              <w:rPr>
                <w:rFonts w:asciiTheme="minorHAnsi" w:hAnsiTheme="minorHAnsi" w:cstheme="minorHAnsi"/>
              </w:rPr>
              <w:t>Evidence</w:t>
            </w:r>
          </w:p>
        </w:tc>
      </w:tr>
      <w:tr w:rsidR="00086A68" w:rsidRPr="002A757D" w14:paraId="4FF867C6" w14:textId="44C38E43" w:rsidTr="00086A68">
        <w:trPr>
          <w:cantSplit/>
          <w:trHeight w:val="1134"/>
        </w:trPr>
        <w:tc>
          <w:tcPr>
            <w:tcW w:w="7171" w:type="dxa"/>
            <w:shd w:val="clear" w:color="auto" w:fill="F2F2F2" w:themeFill="background1" w:themeFillShade="F2"/>
          </w:tcPr>
          <w:p w14:paraId="246BA07B"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 xml:space="preserve">1.10 </w:t>
            </w:r>
            <w:r w:rsidRPr="002A757D">
              <w:rPr>
                <w:rFonts w:asciiTheme="minorHAnsi" w:hAnsiTheme="minorHAnsi"/>
                <w:szCs w:val="28"/>
              </w:rPr>
              <w:t>School/college staff who have ongoing support/training in meeting the needs of all learners with the most complex Special Educational Needs and Disabilities.</w:t>
            </w:r>
          </w:p>
        </w:tc>
        <w:tc>
          <w:tcPr>
            <w:tcW w:w="6338" w:type="dxa"/>
            <w:shd w:val="clear" w:color="auto" w:fill="F2F2F2" w:themeFill="background1" w:themeFillShade="F2"/>
          </w:tcPr>
          <w:p w14:paraId="1D358798" w14:textId="77777777" w:rsidR="00086A68" w:rsidRPr="002A757D" w:rsidRDefault="00086A68" w:rsidP="008230F6">
            <w:pPr>
              <w:rPr>
                <w:rFonts w:asciiTheme="minorHAnsi" w:hAnsiTheme="minorHAnsi" w:cstheme="minorHAnsi"/>
              </w:rPr>
            </w:pPr>
          </w:p>
        </w:tc>
      </w:tr>
      <w:tr w:rsidR="00086A68" w:rsidRPr="002A757D" w14:paraId="4526D431" w14:textId="299F913C" w:rsidTr="00086A68">
        <w:trPr>
          <w:cantSplit/>
          <w:trHeight w:val="1134"/>
        </w:trPr>
        <w:tc>
          <w:tcPr>
            <w:tcW w:w="7171" w:type="dxa"/>
            <w:shd w:val="clear" w:color="auto" w:fill="F2F2F2" w:themeFill="background1" w:themeFillShade="F2"/>
          </w:tcPr>
          <w:p w14:paraId="5043692D"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 xml:space="preserve">1.11 </w:t>
            </w:r>
            <w:r w:rsidRPr="002A757D">
              <w:rPr>
                <w:rFonts w:asciiTheme="minorHAnsi" w:hAnsiTheme="minorHAnsi"/>
                <w:szCs w:val="28"/>
              </w:rPr>
              <w:t>An initial assessment by an appropriately qualified specialist in education, health and/or social care, if needed.</w:t>
            </w:r>
          </w:p>
        </w:tc>
        <w:tc>
          <w:tcPr>
            <w:tcW w:w="6338" w:type="dxa"/>
            <w:shd w:val="clear" w:color="auto" w:fill="F2F2F2" w:themeFill="background1" w:themeFillShade="F2"/>
          </w:tcPr>
          <w:p w14:paraId="69937B6B" w14:textId="77777777" w:rsidR="00086A68" w:rsidRPr="002A757D" w:rsidRDefault="00086A68" w:rsidP="008230F6">
            <w:pPr>
              <w:rPr>
                <w:rFonts w:asciiTheme="minorHAnsi" w:hAnsiTheme="minorHAnsi" w:cstheme="minorHAnsi"/>
              </w:rPr>
            </w:pPr>
          </w:p>
        </w:tc>
      </w:tr>
      <w:tr w:rsidR="00086A68" w:rsidRPr="002A757D" w14:paraId="16D09BCA" w14:textId="59F2A2CB" w:rsidTr="00086A68">
        <w:trPr>
          <w:cantSplit/>
          <w:trHeight w:val="1134"/>
        </w:trPr>
        <w:tc>
          <w:tcPr>
            <w:tcW w:w="7171" w:type="dxa"/>
            <w:shd w:val="clear" w:color="auto" w:fill="F2F2F2" w:themeFill="background1" w:themeFillShade="F2"/>
          </w:tcPr>
          <w:p w14:paraId="102C8400"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 xml:space="preserve">1.12 </w:t>
            </w:r>
            <w:r w:rsidRPr="002A757D">
              <w:rPr>
                <w:rFonts w:asciiTheme="minorHAnsi" w:hAnsiTheme="minorHAnsi"/>
                <w:szCs w:val="28"/>
              </w:rPr>
              <w:t>Targeted and planned support from Teaching Assistants, when needed.</w:t>
            </w:r>
          </w:p>
        </w:tc>
        <w:tc>
          <w:tcPr>
            <w:tcW w:w="6338" w:type="dxa"/>
            <w:shd w:val="clear" w:color="auto" w:fill="F2F2F2" w:themeFill="background1" w:themeFillShade="F2"/>
          </w:tcPr>
          <w:p w14:paraId="4C5C274D" w14:textId="77777777" w:rsidR="00086A68" w:rsidRPr="002A757D" w:rsidRDefault="00086A68" w:rsidP="008230F6">
            <w:pPr>
              <w:rPr>
                <w:rFonts w:asciiTheme="minorHAnsi" w:hAnsiTheme="minorHAnsi" w:cstheme="minorHAnsi"/>
              </w:rPr>
            </w:pPr>
          </w:p>
        </w:tc>
      </w:tr>
      <w:tr w:rsidR="00086A68" w:rsidRPr="002A757D" w14:paraId="0A24F15B" w14:textId="065CA1D9" w:rsidTr="00086A68">
        <w:trPr>
          <w:cantSplit/>
          <w:trHeight w:val="1134"/>
        </w:trPr>
        <w:tc>
          <w:tcPr>
            <w:tcW w:w="7171" w:type="dxa"/>
            <w:shd w:val="clear" w:color="auto" w:fill="F2F2F2" w:themeFill="background1" w:themeFillShade="F2"/>
          </w:tcPr>
          <w:p w14:paraId="6E6A96B8" w14:textId="082879AC" w:rsidR="00086A68" w:rsidRPr="002A757D" w:rsidRDefault="00086A68" w:rsidP="008230F6">
            <w:pPr>
              <w:rPr>
                <w:rFonts w:asciiTheme="minorHAnsi" w:hAnsiTheme="minorHAnsi" w:cstheme="minorHAnsi"/>
              </w:rPr>
            </w:pPr>
            <w:r w:rsidRPr="002A757D">
              <w:rPr>
                <w:rFonts w:asciiTheme="minorHAnsi" w:hAnsiTheme="minorHAnsi" w:cstheme="minorHAnsi"/>
              </w:rPr>
              <w:lastRenderedPageBreak/>
              <w:t>1.13 Time dedicated for staff to plan and review</w:t>
            </w:r>
            <w:r w:rsidR="00CF268F">
              <w:rPr>
                <w:rFonts w:asciiTheme="minorHAnsi" w:hAnsiTheme="minorHAnsi" w:cstheme="minorHAnsi"/>
              </w:rPr>
              <w:t xml:space="preserve"> learners’ needs, when required, following the assess, plan, do, review cycle (see the main core standards document for details and proformas)</w:t>
            </w:r>
          </w:p>
        </w:tc>
        <w:tc>
          <w:tcPr>
            <w:tcW w:w="6338" w:type="dxa"/>
            <w:shd w:val="clear" w:color="auto" w:fill="F2F2F2" w:themeFill="background1" w:themeFillShade="F2"/>
          </w:tcPr>
          <w:p w14:paraId="2AB9B263" w14:textId="77777777" w:rsidR="00086A68" w:rsidRPr="002A757D" w:rsidRDefault="00086A68" w:rsidP="008230F6">
            <w:pPr>
              <w:rPr>
                <w:rFonts w:asciiTheme="minorHAnsi" w:hAnsiTheme="minorHAnsi" w:cstheme="minorHAnsi"/>
              </w:rPr>
            </w:pPr>
          </w:p>
        </w:tc>
      </w:tr>
      <w:tr w:rsidR="00086A68" w:rsidRPr="002A757D" w14:paraId="28036B11" w14:textId="30FD4E6A" w:rsidTr="00086A68">
        <w:trPr>
          <w:cantSplit/>
          <w:trHeight w:val="1134"/>
        </w:trPr>
        <w:tc>
          <w:tcPr>
            <w:tcW w:w="7171" w:type="dxa"/>
            <w:shd w:val="clear" w:color="auto" w:fill="F2F2F2" w:themeFill="background1" w:themeFillShade="F2"/>
          </w:tcPr>
          <w:p w14:paraId="681FD38B"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 xml:space="preserve">1.14 </w:t>
            </w:r>
            <w:r w:rsidRPr="002A757D">
              <w:rPr>
                <w:rFonts w:asciiTheme="minorHAnsi" w:hAnsiTheme="minorHAnsi"/>
                <w:szCs w:val="28"/>
              </w:rPr>
              <w:t>A cycle of performance management and appraisal to monitor staff skills.</w:t>
            </w:r>
          </w:p>
        </w:tc>
        <w:tc>
          <w:tcPr>
            <w:tcW w:w="6338" w:type="dxa"/>
            <w:shd w:val="clear" w:color="auto" w:fill="F2F2F2" w:themeFill="background1" w:themeFillShade="F2"/>
          </w:tcPr>
          <w:p w14:paraId="00B6192B" w14:textId="77777777" w:rsidR="00086A68" w:rsidRPr="002A757D" w:rsidRDefault="00086A68" w:rsidP="008230F6">
            <w:pPr>
              <w:rPr>
                <w:rFonts w:asciiTheme="minorHAnsi" w:hAnsiTheme="minorHAnsi" w:cstheme="minorHAnsi"/>
              </w:rPr>
            </w:pPr>
          </w:p>
        </w:tc>
      </w:tr>
    </w:tbl>
    <w:p w14:paraId="0194DE85" w14:textId="77777777" w:rsidR="006F60E2" w:rsidRDefault="006F60E2"/>
    <w:p w14:paraId="3E09E4EC" w14:textId="77777777" w:rsidR="006F60E2" w:rsidRDefault="006F60E2"/>
    <w:tbl>
      <w:tblPr>
        <w:tblStyle w:val="TableGrid"/>
        <w:tblW w:w="13509" w:type="dxa"/>
        <w:tblLook w:val="04A0" w:firstRow="1" w:lastRow="0" w:firstColumn="1" w:lastColumn="0" w:noHBand="0" w:noVBand="1"/>
      </w:tblPr>
      <w:tblGrid>
        <w:gridCol w:w="7171"/>
        <w:gridCol w:w="6338"/>
      </w:tblGrid>
      <w:tr w:rsidR="00086A68" w:rsidRPr="002A757D" w14:paraId="533DF115" w14:textId="64F0463C" w:rsidTr="006F60E2">
        <w:trPr>
          <w:cantSplit/>
          <w:trHeight w:val="405"/>
          <w:tblHeader/>
        </w:trPr>
        <w:tc>
          <w:tcPr>
            <w:tcW w:w="7171" w:type="dxa"/>
            <w:shd w:val="clear" w:color="auto" w:fill="FFC000"/>
          </w:tcPr>
          <w:p w14:paraId="7B60FFB0" w14:textId="77777777" w:rsidR="00086A68" w:rsidRPr="002A757D" w:rsidRDefault="00086A68" w:rsidP="004937AE">
            <w:pPr>
              <w:spacing w:before="60" w:after="60"/>
              <w:rPr>
                <w:rFonts w:asciiTheme="minorHAnsi" w:hAnsiTheme="minorHAnsi" w:cstheme="minorHAnsi"/>
              </w:rPr>
            </w:pPr>
            <w:r w:rsidRPr="002A757D">
              <w:rPr>
                <w:rFonts w:asciiTheme="minorHAnsi" w:hAnsiTheme="minorHAnsi" w:cstheme="minorHAnsi"/>
              </w:rPr>
              <w:t>Systems</w:t>
            </w:r>
          </w:p>
        </w:tc>
        <w:tc>
          <w:tcPr>
            <w:tcW w:w="6338" w:type="dxa"/>
            <w:shd w:val="clear" w:color="auto" w:fill="FFC000"/>
          </w:tcPr>
          <w:p w14:paraId="70C34DCD" w14:textId="59008F43" w:rsidR="00086A68" w:rsidRPr="002A757D" w:rsidRDefault="00086A68" w:rsidP="004937AE">
            <w:pPr>
              <w:spacing w:before="60" w:after="60"/>
              <w:rPr>
                <w:rFonts w:asciiTheme="minorHAnsi" w:hAnsiTheme="minorHAnsi" w:cstheme="minorHAnsi"/>
              </w:rPr>
            </w:pPr>
            <w:r>
              <w:rPr>
                <w:rFonts w:asciiTheme="minorHAnsi" w:hAnsiTheme="minorHAnsi" w:cstheme="minorHAnsi"/>
              </w:rPr>
              <w:t>Evidence</w:t>
            </w:r>
          </w:p>
        </w:tc>
      </w:tr>
      <w:tr w:rsidR="00086A68" w:rsidRPr="002A757D" w14:paraId="7138BE37" w14:textId="0F8CAD42" w:rsidTr="00086A68">
        <w:trPr>
          <w:cantSplit/>
          <w:trHeight w:val="1134"/>
        </w:trPr>
        <w:tc>
          <w:tcPr>
            <w:tcW w:w="7171" w:type="dxa"/>
            <w:shd w:val="clear" w:color="auto" w:fill="F2F2F2" w:themeFill="background1" w:themeFillShade="F2"/>
          </w:tcPr>
          <w:p w14:paraId="356EA83B"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1.15 A senior member of staff who has responsibility for promoting inclusion throughout the provision.</w:t>
            </w:r>
          </w:p>
        </w:tc>
        <w:tc>
          <w:tcPr>
            <w:tcW w:w="6338" w:type="dxa"/>
            <w:shd w:val="clear" w:color="auto" w:fill="F2F2F2" w:themeFill="background1" w:themeFillShade="F2"/>
          </w:tcPr>
          <w:p w14:paraId="22DF7327" w14:textId="77777777" w:rsidR="00086A68" w:rsidRPr="002A757D" w:rsidRDefault="00086A68" w:rsidP="008230F6">
            <w:pPr>
              <w:rPr>
                <w:rFonts w:asciiTheme="minorHAnsi" w:hAnsiTheme="minorHAnsi" w:cstheme="minorHAnsi"/>
              </w:rPr>
            </w:pPr>
          </w:p>
        </w:tc>
      </w:tr>
      <w:tr w:rsidR="00086A68" w:rsidRPr="002A757D" w14:paraId="3366375A" w14:textId="71515F27" w:rsidTr="00086A68">
        <w:trPr>
          <w:cantSplit/>
          <w:trHeight w:val="1134"/>
        </w:trPr>
        <w:tc>
          <w:tcPr>
            <w:tcW w:w="7171" w:type="dxa"/>
            <w:shd w:val="clear" w:color="auto" w:fill="F2F2F2" w:themeFill="background1" w:themeFillShade="F2"/>
          </w:tcPr>
          <w:p w14:paraId="2387FF9F"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1.16 Regular communication between staff, parents and learners.</w:t>
            </w:r>
          </w:p>
        </w:tc>
        <w:tc>
          <w:tcPr>
            <w:tcW w:w="6338" w:type="dxa"/>
            <w:shd w:val="clear" w:color="auto" w:fill="F2F2F2" w:themeFill="background1" w:themeFillShade="F2"/>
          </w:tcPr>
          <w:p w14:paraId="59BC6004" w14:textId="77777777" w:rsidR="00086A68" w:rsidRPr="002A757D" w:rsidRDefault="00086A68" w:rsidP="008230F6">
            <w:pPr>
              <w:rPr>
                <w:rFonts w:asciiTheme="minorHAnsi" w:hAnsiTheme="minorHAnsi" w:cstheme="minorHAnsi"/>
              </w:rPr>
            </w:pPr>
          </w:p>
        </w:tc>
      </w:tr>
      <w:tr w:rsidR="00086A68" w:rsidRPr="002A757D" w14:paraId="159D8A47" w14:textId="2ABC553E" w:rsidTr="00086A68">
        <w:trPr>
          <w:cantSplit/>
          <w:trHeight w:val="1134"/>
        </w:trPr>
        <w:tc>
          <w:tcPr>
            <w:tcW w:w="7171" w:type="dxa"/>
            <w:shd w:val="clear" w:color="auto" w:fill="F2F2F2" w:themeFill="background1" w:themeFillShade="F2"/>
          </w:tcPr>
          <w:p w14:paraId="34E022A3"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1.17 An effective code of conduct to promote positive behaviour and mutual respect, including clear systems for giving rewards and sanctions, which are used in the same way by all staff.</w:t>
            </w:r>
          </w:p>
        </w:tc>
        <w:tc>
          <w:tcPr>
            <w:tcW w:w="6338" w:type="dxa"/>
            <w:shd w:val="clear" w:color="auto" w:fill="F2F2F2" w:themeFill="background1" w:themeFillShade="F2"/>
          </w:tcPr>
          <w:p w14:paraId="161EF28F" w14:textId="77777777" w:rsidR="00086A68" w:rsidRPr="002A757D" w:rsidRDefault="00086A68" w:rsidP="008230F6">
            <w:pPr>
              <w:rPr>
                <w:rFonts w:asciiTheme="minorHAnsi" w:hAnsiTheme="minorHAnsi" w:cstheme="minorHAnsi"/>
              </w:rPr>
            </w:pPr>
          </w:p>
        </w:tc>
      </w:tr>
      <w:tr w:rsidR="00086A68" w:rsidRPr="002A757D" w14:paraId="63FF133B" w14:textId="3C4C12EB" w:rsidTr="00086A68">
        <w:trPr>
          <w:cantSplit/>
          <w:trHeight w:val="1134"/>
        </w:trPr>
        <w:tc>
          <w:tcPr>
            <w:tcW w:w="7171" w:type="dxa"/>
            <w:shd w:val="clear" w:color="auto" w:fill="F2F2F2" w:themeFill="background1" w:themeFillShade="F2"/>
          </w:tcPr>
          <w:p w14:paraId="2A53981B"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1.18 Effective communication between staff during the school/college week</w:t>
            </w:r>
          </w:p>
        </w:tc>
        <w:tc>
          <w:tcPr>
            <w:tcW w:w="6338" w:type="dxa"/>
            <w:shd w:val="clear" w:color="auto" w:fill="F2F2F2" w:themeFill="background1" w:themeFillShade="F2"/>
          </w:tcPr>
          <w:p w14:paraId="4D7E9956" w14:textId="77777777" w:rsidR="00086A68" w:rsidRPr="002A757D" w:rsidRDefault="00086A68" w:rsidP="008230F6">
            <w:pPr>
              <w:rPr>
                <w:rFonts w:asciiTheme="minorHAnsi" w:hAnsiTheme="minorHAnsi" w:cstheme="minorHAnsi"/>
              </w:rPr>
            </w:pPr>
          </w:p>
        </w:tc>
      </w:tr>
      <w:tr w:rsidR="00086A68" w:rsidRPr="002A757D" w14:paraId="06B4F3A9" w14:textId="0CCD5B87" w:rsidTr="00086A68">
        <w:trPr>
          <w:cantSplit/>
          <w:trHeight w:val="1134"/>
        </w:trPr>
        <w:tc>
          <w:tcPr>
            <w:tcW w:w="7171" w:type="dxa"/>
            <w:shd w:val="clear" w:color="auto" w:fill="F2F2F2" w:themeFill="background1" w:themeFillShade="F2"/>
          </w:tcPr>
          <w:p w14:paraId="2EA4E369"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lastRenderedPageBreak/>
              <w:t>1.19 Opportunities to take on responsibilities in school/college, for example, engaging with the National Union of Students, learner/student councils and Learner Voice forums.</w:t>
            </w:r>
          </w:p>
        </w:tc>
        <w:tc>
          <w:tcPr>
            <w:tcW w:w="6338" w:type="dxa"/>
            <w:shd w:val="clear" w:color="auto" w:fill="F2F2F2" w:themeFill="background1" w:themeFillShade="F2"/>
          </w:tcPr>
          <w:p w14:paraId="3D3CF102" w14:textId="77777777" w:rsidR="00086A68" w:rsidRPr="002A757D" w:rsidRDefault="00086A68" w:rsidP="008230F6">
            <w:pPr>
              <w:rPr>
                <w:rFonts w:asciiTheme="minorHAnsi" w:hAnsiTheme="minorHAnsi" w:cstheme="minorHAnsi"/>
              </w:rPr>
            </w:pPr>
          </w:p>
        </w:tc>
      </w:tr>
      <w:tr w:rsidR="00086A68" w:rsidRPr="002A757D" w14:paraId="12CD77FD" w14:textId="65F69E95" w:rsidTr="00086A68">
        <w:trPr>
          <w:cantSplit/>
          <w:trHeight w:val="1134"/>
        </w:trPr>
        <w:tc>
          <w:tcPr>
            <w:tcW w:w="7171" w:type="dxa"/>
            <w:shd w:val="clear" w:color="auto" w:fill="F2F2F2" w:themeFill="background1" w:themeFillShade="F2"/>
          </w:tcPr>
          <w:p w14:paraId="479DFBB0" w14:textId="77777777" w:rsidR="00086A68" w:rsidRPr="002A757D" w:rsidRDefault="00086A68" w:rsidP="008230F6">
            <w:pPr>
              <w:rPr>
                <w:rFonts w:asciiTheme="minorHAnsi" w:hAnsiTheme="minorHAnsi" w:cstheme="minorHAnsi"/>
              </w:rPr>
            </w:pPr>
            <w:r w:rsidRPr="002A757D">
              <w:rPr>
                <w:rFonts w:asciiTheme="minorHAnsi" w:hAnsiTheme="minorHAnsi" w:cstheme="minorHAnsi"/>
              </w:rPr>
              <w:t>1.20 Adaptations to transport for trips and visits.</w:t>
            </w:r>
          </w:p>
        </w:tc>
        <w:tc>
          <w:tcPr>
            <w:tcW w:w="6338" w:type="dxa"/>
            <w:shd w:val="clear" w:color="auto" w:fill="F2F2F2" w:themeFill="background1" w:themeFillShade="F2"/>
          </w:tcPr>
          <w:p w14:paraId="412EB78F" w14:textId="77777777" w:rsidR="00086A68" w:rsidRPr="002A757D" w:rsidRDefault="00086A68" w:rsidP="008230F6">
            <w:pPr>
              <w:rPr>
                <w:rFonts w:asciiTheme="minorHAnsi" w:hAnsiTheme="minorHAnsi" w:cstheme="minorHAnsi"/>
              </w:rPr>
            </w:pPr>
          </w:p>
        </w:tc>
      </w:tr>
      <w:tr w:rsidR="00086A68" w:rsidRPr="002A757D" w14:paraId="7B9458A5" w14:textId="3844C556" w:rsidTr="00086A68">
        <w:trPr>
          <w:cantSplit/>
          <w:trHeight w:val="1134"/>
        </w:trPr>
        <w:tc>
          <w:tcPr>
            <w:tcW w:w="7171" w:type="dxa"/>
            <w:shd w:val="clear" w:color="auto" w:fill="F2F2F2" w:themeFill="background1" w:themeFillShade="F2"/>
          </w:tcPr>
          <w:p w14:paraId="40C5B3ED" w14:textId="77777777" w:rsidR="00086A68" w:rsidRPr="002A757D" w:rsidRDefault="00086A68" w:rsidP="0015063B">
            <w:pPr>
              <w:rPr>
                <w:rFonts w:asciiTheme="minorHAnsi" w:hAnsiTheme="minorHAnsi" w:cstheme="minorHAnsi"/>
              </w:rPr>
            </w:pPr>
            <w:r w:rsidRPr="002A757D">
              <w:rPr>
                <w:rFonts w:asciiTheme="minorHAnsi" w:hAnsiTheme="minorHAnsi" w:cstheme="minorHAnsi"/>
              </w:rPr>
              <w:t>1.21 Systems for monitoring and reporting concerns about learners’ health, safety and wellbeing, e.g. risk assessments, as appropriate.</w:t>
            </w:r>
          </w:p>
        </w:tc>
        <w:tc>
          <w:tcPr>
            <w:tcW w:w="6338" w:type="dxa"/>
            <w:shd w:val="clear" w:color="auto" w:fill="F2F2F2" w:themeFill="background1" w:themeFillShade="F2"/>
          </w:tcPr>
          <w:p w14:paraId="41534CA8" w14:textId="77777777" w:rsidR="00086A68" w:rsidRPr="002A757D" w:rsidRDefault="00086A68" w:rsidP="0015063B">
            <w:pPr>
              <w:rPr>
                <w:rFonts w:asciiTheme="minorHAnsi" w:hAnsiTheme="minorHAnsi" w:cstheme="minorHAnsi"/>
              </w:rPr>
            </w:pPr>
          </w:p>
        </w:tc>
      </w:tr>
      <w:tr w:rsidR="00086A68" w:rsidRPr="002A757D" w14:paraId="03E112C7" w14:textId="33B0AFC2" w:rsidTr="00086A68">
        <w:trPr>
          <w:cantSplit/>
          <w:trHeight w:val="1134"/>
        </w:trPr>
        <w:tc>
          <w:tcPr>
            <w:tcW w:w="7171" w:type="dxa"/>
            <w:shd w:val="clear" w:color="auto" w:fill="F2F2F2" w:themeFill="background1" w:themeFillShade="F2"/>
          </w:tcPr>
          <w:p w14:paraId="45D12764" w14:textId="77777777" w:rsidR="00086A68" w:rsidRPr="002A757D" w:rsidRDefault="00086A68" w:rsidP="00A00301">
            <w:pPr>
              <w:rPr>
                <w:rFonts w:asciiTheme="minorHAnsi" w:hAnsiTheme="minorHAnsi" w:cstheme="minorHAnsi"/>
              </w:rPr>
            </w:pPr>
            <w:r w:rsidRPr="002A757D">
              <w:rPr>
                <w:rFonts w:asciiTheme="minorHAnsi" w:hAnsiTheme="minorHAnsi" w:cstheme="minorHAnsi"/>
              </w:rPr>
              <w:t>1.22 Full records of attendance</w:t>
            </w:r>
          </w:p>
        </w:tc>
        <w:tc>
          <w:tcPr>
            <w:tcW w:w="6338" w:type="dxa"/>
            <w:shd w:val="clear" w:color="auto" w:fill="F2F2F2" w:themeFill="background1" w:themeFillShade="F2"/>
          </w:tcPr>
          <w:p w14:paraId="1C538071" w14:textId="77777777" w:rsidR="00086A68" w:rsidRPr="002A757D" w:rsidRDefault="00086A68" w:rsidP="00A00301">
            <w:pPr>
              <w:rPr>
                <w:rFonts w:asciiTheme="minorHAnsi" w:hAnsiTheme="minorHAnsi" w:cstheme="minorHAnsi"/>
              </w:rPr>
            </w:pPr>
          </w:p>
        </w:tc>
      </w:tr>
      <w:tr w:rsidR="00086A68" w:rsidRPr="002A757D" w14:paraId="33FA7917" w14:textId="4A733628" w:rsidTr="00086A68">
        <w:trPr>
          <w:cantSplit/>
          <w:trHeight w:val="1134"/>
        </w:trPr>
        <w:tc>
          <w:tcPr>
            <w:tcW w:w="7171" w:type="dxa"/>
            <w:shd w:val="clear" w:color="auto" w:fill="F2F2F2" w:themeFill="background1" w:themeFillShade="F2"/>
          </w:tcPr>
          <w:p w14:paraId="70136AF0" w14:textId="77777777" w:rsidR="00086A68" w:rsidRPr="002A757D" w:rsidRDefault="00086A68" w:rsidP="00A00301">
            <w:pPr>
              <w:rPr>
                <w:rFonts w:asciiTheme="minorHAnsi" w:hAnsiTheme="minorHAnsi" w:cstheme="minorHAnsi"/>
              </w:rPr>
            </w:pPr>
            <w:r w:rsidRPr="002A757D">
              <w:rPr>
                <w:rFonts w:asciiTheme="minorHAnsi" w:hAnsiTheme="minorHAnsi" w:cstheme="minorHAnsi"/>
              </w:rPr>
              <w:t>1.23 Access to enrichment activities.</w:t>
            </w:r>
          </w:p>
        </w:tc>
        <w:tc>
          <w:tcPr>
            <w:tcW w:w="6338" w:type="dxa"/>
            <w:shd w:val="clear" w:color="auto" w:fill="F2F2F2" w:themeFill="background1" w:themeFillShade="F2"/>
          </w:tcPr>
          <w:p w14:paraId="40F184D5" w14:textId="77777777" w:rsidR="00086A68" w:rsidRPr="002A757D" w:rsidRDefault="00086A68" w:rsidP="00A00301">
            <w:pPr>
              <w:rPr>
                <w:rFonts w:asciiTheme="minorHAnsi" w:hAnsiTheme="minorHAnsi" w:cstheme="minorHAnsi"/>
              </w:rPr>
            </w:pPr>
          </w:p>
        </w:tc>
      </w:tr>
      <w:tr w:rsidR="00086A68" w:rsidRPr="002A757D" w14:paraId="2768E3A2" w14:textId="0C81B33A" w:rsidTr="00086A68">
        <w:trPr>
          <w:cantSplit/>
          <w:trHeight w:val="1134"/>
        </w:trPr>
        <w:tc>
          <w:tcPr>
            <w:tcW w:w="7171" w:type="dxa"/>
            <w:shd w:val="clear" w:color="auto" w:fill="F2F2F2" w:themeFill="background1" w:themeFillShade="F2"/>
          </w:tcPr>
          <w:p w14:paraId="5DA1E8B2" w14:textId="34E22B5A" w:rsidR="00086A68" w:rsidRPr="002A757D" w:rsidRDefault="00086A68" w:rsidP="00DD0B8D">
            <w:pPr>
              <w:rPr>
                <w:rFonts w:asciiTheme="minorHAnsi" w:hAnsiTheme="minorHAnsi" w:cstheme="minorHAnsi"/>
              </w:rPr>
            </w:pPr>
            <w:r w:rsidRPr="002A757D">
              <w:rPr>
                <w:rFonts w:asciiTheme="minorHAnsi" w:hAnsiTheme="minorHAnsi" w:cstheme="minorHAnsi"/>
              </w:rPr>
              <w:t xml:space="preserve">1.24 Staff will </w:t>
            </w:r>
            <w:r w:rsidR="00DD0B8D">
              <w:rPr>
                <w:rFonts w:asciiTheme="minorHAnsi" w:hAnsiTheme="minorHAnsi" w:cstheme="minorHAnsi"/>
              </w:rPr>
              <w:t xml:space="preserve">update and </w:t>
            </w:r>
            <w:r w:rsidRPr="002A757D">
              <w:rPr>
                <w:rFonts w:asciiTheme="minorHAnsi" w:hAnsiTheme="minorHAnsi" w:cstheme="minorHAnsi"/>
              </w:rPr>
              <w:t xml:space="preserve">abide with </w:t>
            </w:r>
            <w:r w:rsidR="00DD0B8D">
              <w:rPr>
                <w:rFonts w:asciiTheme="minorHAnsi" w:hAnsiTheme="minorHAnsi" w:cstheme="minorHAnsi"/>
              </w:rPr>
              <w:t xml:space="preserve">Swindon </w:t>
            </w:r>
            <w:r w:rsidRPr="002A757D">
              <w:rPr>
                <w:rFonts w:asciiTheme="minorHAnsi" w:hAnsiTheme="minorHAnsi" w:cstheme="minorHAnsi"/>
              </w:rPr>
              <w:t xml:space="preserve">Safeguarding </w:t>
            </w:r>
            <w:r w:rsidR="00DD0B8D">
              <w:rPr>
                <w:rFonts w:asciiTheme="minorHAnsi" w:hAnsiTheme="minorHAnsi" w:cstheme="minorHAnsi"/>
              </w:rPr>
              <w:t>standards/</w:t>
            </w:r>
            <w:r w:rsidRPr="002A757D">
              <w:rPr>
                <w:rFonts w:asciiTheme="minorHAnsi" w:hAnsiTheme="minorHAnsi" w:cstheme="minorHAnsi"/>
              </w:rPr>
              <w:t>arrangements and statutory guidance.</w:t>
            </w:r>
          </w:p>
        </w:tc>
        <w:tc>
          <w:tcPr>
            <w:tcW w:w="6338" w:type="dxa"/>
            <w:shd w:val="clear" w:color="auto" w:fill="F2F2F2" w:themeFill="background1" w:themeFillShade="F2"/>
          </w:tcPr>
          <w:p w14:paraId="66C5755C" w14:textId="77777777" w:rsidR="00086A68" w:rsidRPr="002A757D" w:rsidRDefault="00086A68" w:rsidP="00A00301">
            <w:pPr>
              <w:rPr>
                <w:rFonts w:asciiTheme="minorHAnsi" w:hAnsiTheme="minorHAnsi" w:cstheme="minorHAnsi"/>
              </w:rPr>
            </w:pPr>
          </w:p>
        </w:tc>
      </w:tr>
    </w:tbl>
    <w:p w14:paraId="09B11AC0" w14:textId="772F384C" w:rsidR="006F60E2" w:rsidRDefault="006F60E2"/>
    <w:p w14:paraId="698FA362" w14:textId="58A550BE" w:rsidR="006F60E2" w:rsidRDefault="006F60E2"/>
    <w:p w14:paraId="5917784A" w14:textId="77777777" w:rsidR="006F60E2" w:rsidRDefault="006F60E2"/>
    <w:tbl>
      <w:tblPr>
        <w:tblStyle w:val="TableGrid"/>
        <w:tblW w:w="13509" w:type="dxa"/>
        <w:tblLook w:val="04A0" w:firstRow="1" w:lastRow="0" w:firstColumn="1" w:lastColumn="0" w:noHBand="0" w:noVBand="1"/>
      </w:tblPr>
      <w:tblGrid>
        <w:gridCol w:w="7171"/>
        <w:gridCol w:w="6338"/>
      </w:tblGrid>
      <w:tr w:rsidR="00086A68" w:rsidRPr="002A757D" w14:paraId="5EF16560" w14:textId="40343A97" w:rsidTr="006F60E2">
        <w:trPr>
          <w:cantSplit/>
          <w:trHeight w:val="520"/>
          <w:tblHeader/>
        </w:trPr>
        <w:tc>
          <w:tcPr>
            <w:tcW w:w="7171" w:type="dxa"/>
            <w:shd w:val="clear" w:color="auto" w:fill="FFC000"/>
          </w:tcPr>
          <w:p w14:paraId="38639254" w14:textId="77777777" w:rsidR="00086A68" w:rsidRPr="002A757D" w:rsidRDefault="00086A68" w:rsidP="0015063B">
            <w:pPr>
              <w:spacing w:before="60" w:after="60"/>
              <w:rPr>
                <w:rFonts w:asciiTheme="minorHAnsi" w:hAnsiTheme="minorHAnsi" w:cstheme="minorHAnsi"/>
              </w:rPr>
            </w:pPr>
            <w:r w:rsidRPr="002A757D">
              <w:rPr>
                <w:rFonts w:asciiTheme="minorHAnsi" w:hAnsiTheme="minorHAnsi" w:cstheme="minorHAnsi"/>
              </w:rPr>
              <w:lastRenderedPageBreak/>
              <w:t>Preparing for Adulthood</w:t>
            </w:r>
          </w:p>
        </w:tc>
        <w:tc>
          <w:tcPr>
            <w:tcW w:w="6338" w:type="dxa"/>
            <w:shd w:val="clear" w:color="auto" w:fill="FFC000"/>
          </w:tcPr>
          <w:p w14:paraId="2EB88979" w14:textId="640E5C6B" w:rsidR="00086A68" w:rsidRPr="002A757D" w:rsidRDefault="00086A68" w:rsidP="0015063B">
            <w:pPr>
              <w:spacing w:before="60" w:after="60"/>
              <w:rPr>
                <w:rFonts w:asciiTheme="minorHAnsi" w:hAnsiTheme="minorHAnsi" w:cstheme="minorHAnsi"/>
              </w:rPr>
            </w:pPr>
            <w:r>
              <w:rPr>
                <w:rFonts w:asciiTheme="minorHAnsi" w:hAnsiTheme="minorHAnsi" w:cstheme="minorHAnsi"/>
              </w:rPr>
              <w:t>Evidence</w:t>
            </w:r>
          </w:p>
        </w:tc>
      </w:tr>
      <w:tr w:rsidR="00086A68" w:rsidRPr="002A757D" w14:paraId="5A04FEAD" w14:textId="787EBFE5" w:rsidTr="00086A68">
        <w:trPr>
          <w:cantSplit/>
          <w:trHeight w:val="1134"/>
        </w:trPr>
        <w:tc>
          <w:tcPr>
            <w:tcW w:w="7171" w:type="dxa"/>
            <w:shd w:val="clear" w:color="auto" w:fill="F2F2F2" w:themeFill="background1" w:themeFillShade="F2"/>
          </w:tcPr>
          <w:p w14:paraId="1CA3FBF1" w14:textId="1E0E4159" w:rsidR="00086A68" w:rsidRPr="002A757D" w:rsidRDefault="00086A68" w:rsidP="00463C89">
            <w:pPr>
              <w:rPr>
                <w:rFonts w:asciiTheme="minorHAnsi" w:hAnsiTheme="minorHAnsi" w:cstheme="minorHAnsi"/>
              </w:rPr>
            </w:pPr>
            <w:r w:rsidRPr="002A757D">
              <w:rPr>
                <w:rFonts w:asciiTheme="minorHAnsi" w:hAnsiTheme="minorHAnsi" w:cstheme="minorHAnsi"/>
              </w:rPr>
              <w:t>1.25 Learners will have opportunities to access work-based learning, for example, relevant internal/external work experiences.</w:t>
            </w:r>
          </w:p>
        </w:tc>
        <w:tc>
          <w:tcPr>
            <w:tcW w:w="6338" w:type="dxa"/>
            <w:shd w:val="clear" w:color="auto" w:fill="F2F2F2" w:themeFill="background1" w:themeFillShade="F2"/>
          </w:tcPr>
          <w:p w14:paraId="3194A556" w14:textId="77777777" w:rsidR="00086A68" w:rsidRPr="002A757D" w:rsidRDefault="00086A68" w:rsidP="00E767A8">
            <w:pPr>
              <w:rPr>
                <w:rFonts w:asciiTheme="minorHAnsi" w:hAnsiTheme="minorHAnsi" w:cstheme="minorHAnsi"/>
              </w:rPr>
            </w:pPr>
          </w:p>
        </w:tc>
      </w:tr>
      <w:tr w:rsidR="00086A68" w:rsidRPr="002A757D" w14:paraId="1EB31017" w14:textId="2E97925C" w:rsidTr="00086A68">
        <w:trPr>
          <w:cantSplit/>
          <w:trHeight w:val="1134"/>
        </w:trPr>
        <w:tc>
          <w:tcPr>
            <w:tcW w:w="7171" w:type="dxa"/>
            <w:shd w:val="clear" w:color="auto" w:fill="F2F2F2" w:themeFill="background1" w:themeFillShade="F2"/>
          </w:tcPr>
          <w:p w14:paraId="1C0C4B57" w14:textId="13EEB07E" w:rsidR="00086A68" w:rsidRPr="002A757D" w:rsidRDefault="00086A68" w:rsidP="00E767A8">
            <w:pPr>
              <w:rPr>
                <w:rFonts w:asciiTheme="minorHAnsi" w:hAnsiTheme="minorHAnsi" w:cstheme="minorHAnsi"/>
              </w:rPr>
            </w:pPr>
            <w:r w:rsidRPr="002A757D">
              <w:rPr>
                <w:rFonts w:asciiTheme="minorHAnsi" w:hAnsiTheme="minorHAnsi" w:cstheme="minorHAnsi"/>
              </w:rPr>
              <w:t>1.26 Learners will be offered Independent Advice and Guidance (IAG) to help support career progression aspirations.</w:t>
            </w:r>
          </w:p>
        </w:tc>
        <w:tc>
          <w:tcPr>
            <w:tcW w:w="6338" w:type="dxa"/>
            <w:shd w:val="clear" w:color="auto" w:fill="F2F2F2" w:themeFill="background1" w:themeFillShade="F2"/>
          </w:tcPr>
          <w:p w14:paraId="07D69D28" w14:textId="77777777" w:rsidR="00086A68" w:rsidRPr="002A757D" w:rsidRDefault="00086A68" w:rsidP="00E767A8">
            <w:pPr>
              <w:rPr>
                <w:rFonts w:asciiTheme="minorHAnsi" w:hAnsiTheme="minorHAnsi" w:cstheme="minorHAnsi"/>
              </w:rPr>
            </w:pPr>
          </w:p>
        </w:tc>
      </w:tr>
      <w:tr w:rsidR="00086A68" w:rsidRPr="002A757D" w14:paraId="76833625" w14:textId="4F57B0D1" w:rsidTr="00086A68">
        <w:trPr>
          <w:cantSplit/>
          <w:trHeight w:val="1134"/>
        </w:trPr>
        <w:tc>
          <w:tcPr>
            <w:tcW w:w="7171" w:type="dxa"/>
            <w:shd w:val="clear" w:color="auto" w:fill="F2F2F2" w:themeFill="background1" w:themeFillShade="F2"/>
          </w:tcPr>
          <w:p w14:paraId="14936B2C" w14:textId="77777777" w:rsidR="00086A68" w:rsidRPr="002A757D" w:rsidRDefault="00086A68" w:rsidP="00A00301">
            <w:pPr>
              <w:rPr>
                <w:rFonts w:asciiTheme="minorHAnsi" w:hAnsiTheme="minorHAnsi" w:cstheme="minorHAnsi"/>
              </w:rPr>
            </w:pPr>
            <w:r w:rsidRPr="002A757D">
              <w:rPr>
                <w:rFonts w:asciiTheme="minorHAnsi" w:hAnsiTheme="minorHAnsi" w:cstheme="minorHAnsi"/>
              </w:rPr>
              <w:t>1.27 Learners will have access to Wellbeing support, for example, counselling and the promotion of a healthy lifestyle.</w:t>
            </w:r>
          </w:p>
        </w:tc>
        <w:tc>
          <w:tcPr>
            <w:tcW w:w="6338" w:type="dxa"/>
            <w:shd w:val="clear" w:color="auto" w:fill="F2F2F2" w:themeFill="background1" w:themeFillShade="F2"/>
          </w:tcPr>
          <w:p w14:paraId="72271EFC" w14:textId="77777777" w:rsidR="00086A68" w:rsidRPr="002A757D" w:rsidRDefault="00086A68" w:rsidP="00A00301">
            <w:pPr>
              <w:rPr>
                <w:rFonts w:asciiTheme="minorHAnsi" w:hAnsiTheme="minorHAnsi" w:cstheme="minorHAnsi"/>
              </w:rPr>
            </w:pPr>
          </w:p>
        </w:tc>
      </w:tr>
      <w:tr w:rsidR="00086A68" w:rsidRPr="002A757D" w14:paraId="29B1DF48" w14:textId="61DC9A50" w:rsidTr="00086A68">
        <w:trPr>
          <w:cantSplit/>
          <w:trHeight w:val="1134"/>
        </w:trPr>
        <w:tc>
          <w:tcPr>
            <w:tcW w:w="7171" w:type="dxa"/>
            <w:shd w:val="clear" w:color="auto" w:fill="F2F2F2" w:themeFill="background1" w:themeFillShade="F2"/>
          </w:tcPr>
          <w:p w14:paraId="681C889D" w14:textId="6C5229B6" w:rsidR="00086A68" w:rsidRPr="002A757D" w:rsidRDefault="00086A68" w:rsidP="00E767A8">
            <w:pPr>
              <w:rPr>
                <w:rFonts w:asciiTheme="minorHAnsi" w:hAnsiTheme="minorHAnsi" w:cstheme="minorHAnsi"/>
              </w:rPr>
            </w:pPr>
            <w:r w:rsidRPr="002A757D">
              <w:rPr>
                <w:rFonts w:asciiTheme="minorHAnsi" w:hAnsiTheme="minorHAnsi" w:cstheme="minorHAnsi"/>
              </w:rPr>
              <w:t>1.28 Learners will develop skills to assist and support them with Independent Living, e.g., life skills and independent travel training such as reading a bus timetable and planning a journey.</w:t>
            </w:r>
          </w:p>
        </w:tc>
        <w:tc>
          <w:tcPr>
            <w:tcW w:w="6338" w:type="dxa"/>
            <w:shd w:val="clear" w:color="auto" w:fill="F2F2F2" w:themeFill="background1" w:themeFillShade="F2"/>
          </w:tcPr>
          <w:p w14:paraId="6718D723" w14:textId="77777777" w:rsidR="00086A68" w:rsidRPr="002A757D" w:rsidRDefault="00086A68" w:rsidP="00E767A8">
            <w:pPr>
              <w:rPr>
                <w:rFonts w:asciiTheme="minorHAnsi" w:hAnsiTheme="minorHAnsi" w:cstheme="minorHAnsi"/>
              </w:rPr>
            </w:pPr>
          </w:p>
        </w:tc>
      </w:tr>
      <w:tr w:rsidR="00086A68" w:rsidRPr="002A757D" w14:paraId="7656D499" w14:textId="3F023F05" w:rsidTr="00086A68">
        <w:trPr>
          <w:cantSplit/>
          <w:trHeight w:val="1134"/>
        </w:trPr>
        <w:tc>
          <w:tcPr>
            <w:tcW w:w="7171" w:type="dxa"/>
            <w:shd w:val="clear" w:color="auto" w:fill="F2F2F2" w:themeFill="background1" w:themeFillShade="F2"/>
          </w:tcPr>
          <w:p w14:paraId="5F16520E" w14:textId="589568D2" w:rsidR="00086A68" w:rsidRPr="002A757D" w:rsidRDefault="00086A68" w:rsidP="00E767A8">
            <w:pPr>
              <w:rPr>
                <w:rFonts w:asciiTheme="minorHAnsi" w:hAnsiTheme="minorHAnsi" w:cstheme="minorHAnsi"/>
              </w:rPr>
            </w:pPr>
            <w:r w:rsidRPr="002A757D">
              <w:rPr>
                <w:rFonts w:asciiTheme="minorHAnsi" w:hAnsiTheme="minorHAnsi" w:cstheme="minorHAnsi"/>
              </w:rPr>
              <w:t>1.29 Fundamental British Values will be promoted to assist with the preparations to live in modern Britain.</w:t>
            </w:r>
          </w:p>
        </w:tc>
        <w:tc>
          <w:tcPr>
            <w:tcW w:w="6338" w:type="dxa"/>
            <w:shd w:val="clear" w:color="auto" w:fill="F2F2F2" w:themeFill="background1" w:themeFillShade="F2"/>
          </w:tcPr>
          <w:p w14:paraId="54386C78" w14:textId="77777777" w:rsidR="00086A68" w:rsidRPr="002A757D" w:rsidRDefault="00086A68" w:rsidP="00E767A8">
            <w:pPr>
              <w:rPr>
                <w:rFonts w:asciiTheme="minorHAnsi" w:hAnsiTheme="minorHAnsi" w:cstheme="minorHAnsi"/>
              </w:rPr>
            </w:pPr>
          </w:p>
        </w:tc>
      </w:tr>
      <w:tr w:rsidR="00086A68" w:rsidRPr="002A757D" w14:paraId="4F07D41E" w14:textId="13A626A4" w:rsidTr="00086A68">
        <w:trPr>
          <w:cantSplit/>
          <w:trHeight w:val="1134"/>
        </w:trPr>
        <w:tc>
          <w:tcPr>
            <w:tcW w:w="7171" w:type="dxa"/>
            <w:shd w:val="clear" w:color="auto" w:fill="F2F2F2" w:themeFill="background1" w:themeFillShade="F2"/>
          </w:tcPr>
          <w:p w14:paraId="7E27918D" w14:textId="019953B9" w:rsidR="00086A68" w:rsidRPr="002A757D" w:rsidRDefault="00086A68" w:rsidP="00E767A8">
            <w:pPr>
              <w:rPr>
                <w:rFonts w:asciiTheme="minorHAnsi" w:hAnsiTheme="minorHAnsi" w:cstheme="minorHAnsi"/>
              </w:rPr>
            </w:pPr>
            <w:r w:rsidRPr="002A757D">
              <w:rPr>
                <w:rFonts w:asciiTheme="minorHAnsi" w:hAnsiTheme="minorHAnsi" w:cstheme="minorHAnsi"/>
              </w:rPr>
              <w:t>1.30 Learners will be supported to acquire and develop their concept of community to enhance social skills, social tolerance, in addition to the development of individual and group identities.</w:t>
            </w:r>
          </w:p>
        </w:tc>
        <w:tc>
          <w:tcPr>
            <w:tcW w:w="6338" w:type="dxa"/>
            <w:shd w:val="clear" w:color="auto" w:fill="F2F2F2" w:themeFill="background1" w:themeFillShade="F2"/>
          </w:tcPr>
          <w:p w14:paraId="68251C65" w14:textId="77777777" w:rsidR="00086A68" w:rsidRPr="002A757D" w:rsidRDefault="00086A68" w:rsidP="00E767A8">
            <w:pPr>
              <w:rPr>
                <w:rFonts w:asciiTheme="minorHAnsi" w:hAnsiTheme="minorHAnsi" w:cstheme="minorHAnsi"/>
              </w:rPr>
            </w:pPr>
          </w:p>
        </w:tc>
      </w:tr>
      <w:tr w:rsidR="00086A68" w:rsidRPr="002A757D" w14:paraId="235EA52F" w14:textId="72BF3F15" w:rsidTr="00086A68">
        <w:trPr>
          <w:cantSplit/>
          <w:trHeight w:val="1134"/>
        </w:trPr>
        <w:tc>
          <w:tcPr>
            <w:tcW w:w="7171" w:type="dxa"/>
            <w:shd w:val="clear" w:color="auto" w:fill="F2F2F2" w:themeFill="background1" w:themeFillShade="F2"/>
          </w:tcPr>
          <w:p w14:paraId="07996905" w14:textId="77777777" w:rsidR="00086A68" w:rsidRPr="002A757D" w:rsidRDefault="00086A68" w:rsidP="00A00301">
            <w:pPr>
              <w:rPr>
                <w:rFonts w:asciiTheme="minorHAnsi" w:hAnsiTheme="minorHAnsi" w:cstheme="minorHAnsi"/>
              </w:rPr>
            </w:pPr>
            <w:r w:rsidRPr="002A757D">
              <w:rPr>
                <w:rFonts w:asciiTheme="minorHAnsi" w:hAnsiTheme="minorHAnsi" w:cstheme="minorHAnsi"/>
              </w:rPr>
              <w:t>1.31 Learners will have access to opportunities to acquire and develop independent study skills, for example, organising and structuring their time, planning and managing their workload and commitments.</w:t>
            </w:r>
          </w:p>
        </w:tc>
        <w:tc>
          <w:tcPr>
            <w:tcW w:w="6338" w:type="dxa"/>
            <w:shd w:val="clear" w:color="auto" w:fill="F2F2F2" w:themeFill="background1" w:themeFillShade="F2"/>
          </w:tcPr>
          <w:p w14:paraId="2DE3F427" w14:textId="77777777" w:rsidR="00086A68" w:rsidRPr="002A757D" w:rsidRDefault="00086A68" w:rsidP="00A00301">
            <w:pPr>
              <w:rPr>
                <w:rFonts w:asciiTheme="minorHAnsi" w:hAnsiTheme="minorHAnsi" w:cstheme="minorHAnsi"/>
              </w:rPr>
            </w:pPr>
          </w:p>
        </w:tc>
      </w:tr>
      <w:tr w:rsidR="00086A68" w:rsidRPr="002A757D" w14:paraId="2F17AFF1" w14:textId="1D1A48D2" w:rsidTr="00086A68">
        <w:trPr>
          <w:cantSplit/>
          <w:trHeight w:val="1134"/>
        </w:trPr>
        <w:tc>
          <w:tcPr>
            <w:tcW w:w="7171" w:type="dxa"/>
            <w:shd w:val="clear" w:color="auto" w:fill="F2F2F2" w:themeFill="background1" w:themeFillShade="F2"/>
          </w:tcPr>
          <w:p w14:paraId="1FCDA3F5" w14:textId="77777777" w:rsidR="00086A68" w:rsidRPr="002A757D" w:rsidRDefault="00086A68" w:rsidP="00A00301">
            <w:pPr>
              <w:rPr>
                <w:rFonts w:asciiTheme="minorHAnsi" w:hAnsiTheme="minorHAnsi" w:cstheme="minorHAnsi"/>
              </w:rPr>
            </w:pPr>
            <w:r w:rsidRPr="002A757D">
              <w:rPr>
                <w:rFonts w:asciiTheme="minorHAnsi" w:hAnsiTheme="minorHAnsi" w:cstheme="minorHAnsi"/>
              </w:rPr>
              <w:lastRenderedPageBreak/>
              <w:t>1.32 Staff will assist learners to identify their aspirations using a Person Centred Philosophy (PCP).</w:t>
            </w:r>
          </w:p>
        </w:tc>
        <w:tc>
          <w:tcPr>
            <w:tcW w:w="6338" w:type="dxa"/>
            <w:shd w:val="clear" w:color="auto" w:fill="F2F2F2" w:themeFill="background1" w:themeFillShade="F2"/>
          </w:tcPr>
          <w:p w14:paraId="1468732A" w14:textId="77777777" w:rsidR="00086A68" w:rsidRPr="002A757D" w:rsidRDefault="00086A68" w:rsidP="00A00301">
            <w:pPr>
              <w:rPr>
                <w:rFonts w:asciiTheme="minorHAnsi" w:hAnsiTheme="minorHAnsi" w:cstheme="minorHAnsi"/>
              </w:rPr>
            </w:pPr>
          </w:p>
        </w:tc>
      </w:tr>
      <w:tr w:rsidR="00086A68" w:rsidRPr="002A757D" w14:paraId="2FED7051" w14:textId="0616C1B1" w:rsidTr="00086A68">
        <w:trPr>
          <w:cantSplit/>
          <w:trHeight w:val="1134"/>
        </w:trPr>
        <w:tc>
          <w:tcPr>
            <w:tcW w:w="7171" w:type="dxa"/>
            <w:shd w:val="clear" w:color="auto" w:fill="F2F2F2" w:themeFill="background1" w:themeFillShade="F2"/>
          </w:tcPr>
          <w:p w14:paraId="482E367F" w14:textId="5BB51928" w:rsidR="00086A68" w:rsidRPr="002A757D" w:rsidRDefault="00086A68" w:rsidP="00E767A8">
            <w:pPr>
              <w:rPr>
                <w:rFonts w:asciiTheme="minorHAnsi" w:hAnsiTheme="minorHAnsi" w:cstheme="minorHAnsi"/>
              </w:rPr>
            </w:pPr>
            <w:r w:rsidRPr="002A757D">
              <w:rPr>
                <w:rFonts w:asciiTheme="minorHAnsi" w:hAnsiTheme="minorHAnsi" w:cstheme="minorHAnsi"/>
              </w:rPr>
              <w:t>1.33 Support for the learner’s family/carers, which might be accessed through ‘Early Help’ or through safeguarding procedures.</w:t>
            </w:r>
          </w:p>
        </w:tc>
        <w:tc>
          <w:tcPr>
            <w:tcW w:w="6338" w:type="dxa"/>
            <w:shd w:val="clear" w:color="auto" w:fill="F2F2F2" w:themeFill="background1" w:themeFillShade="F2"/>
          </w:tcPr>
          <w:p w14:paraId="321155F4" w14:textId="77777777" w:rsidR="00086A68" w:rsidRPr="002A757D" w:rsidRDefault="00086A68" w:rsidP="00E767A8">
            <w:pPr>
              <w:rPr>
                <w:rFonts w:asciiTheme="minorHAnsi" w:hAnsiTheme="minorHAnsi" w:cstheme="minorHAnsi"/>
              </w:rPr>
            </w:pPr>
          </w:p>
        </w:tc>
      </w:tr>
    </w:tbl>
    <w:p w14:paraId="42FAA685" w14:textId="77777777" w:rsidR="008230F6" w:rsidRPr="002A757D" w:rsidRDefault="008230F6" w:rsidP="008230F6">
      <w:pPr>
        <w:spacing w:after="0" w:line="240" w:lineRule="auto"/>
        <w:rPr>
          <w:rFonts w:asciiTheme="minorHAnsi" w:hAnsiTheme="minorHAnsi"/>
          <w:szCs w:val="22"/>
        </w:rPr>
      </w:pPr>
    </w:p>
    <w:p w14:paraId="24D32704" w14:textId="7CF00763" w:rsidR="0070661E" w:rsidRPr="002A757D" w:rsidRDefault="0070661E">
      <w:pPr>
        <w:rPr>
          <w:rFonts w:asciiTheme="minorHAnsi" w:hAnsiTheme="minorHAnsi"/>
          <w:szCs w:val="22"/>
        </w:rPr>
      </w:pPr>
    </w:p>
    <w:sectPr w:rsidR="0070661E" w:rsidRPr="002A757D" w:rsidSect="001B7987">
      <w:headerReference w:type="default" r:id="rId10"/>
      <w:footerReference w:type="default" r:id="rId11"/>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0281" w14:textId="77777777" w:rsidR="00E7790D" w:rsidRDefault="00E7790D" w:rsidP="00086A68">
      <w:pPr>
        <w:spacing w:after="0" w:line="240" w:lineRule="auto"/>
      </w:pPr>
      <w:r>
        <w:separator/>
      </w:r>
    </w:p>
  </w:endnote>
  <w:endnote w:type="continuationSeparator" w:id="0">
    <w:p w14:paraId="0561A423" w14:textId="77777777" w:rsidR="00E7790D" w:rsidRDefault="00E7790D" w:rsidP="0008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515532"/>
      <w:docPartObj>
        <w:docPartGallery w:val="Page Numbers (Bottom of Page)"/>
        <w:docPartUnique/>
      </w:docPartObj>
    </w:sdtPr>
    <w:sdtEndPr>
      <w:rPr>
        <w:color w:val="7F7F7F" w:themeColor="background1" w:themeShade="7F"/>
        <w:spacing w:val="60"/>
      </w:rPr>
    </w:sdtEndPr>
    <w:sdtContent>
      <w:p w14:paraId="4619664F" w14:textId="10C14243" w:rsidR="00086A68" w:rsidRDefault="00086A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268F">
          <w:rPr>
            <w:noProof/>
          </w:rPr>
          <w:t>6</w:t>
        </w:r>
        <w:r>
          <w:rPr>
            <w:noProof/>
          </w:rPr>
          <w:fldChar w:fldCharType="end"/>
        </w:r>
        <w:r>
          <w:t xml:space="preserve"> | </w:t>
        </w:r>
        <w:r>
          <w:rPr>
            <w:color w:val="7F7F7F" w:themeColor="background1" w:themeShade="7F"/>
            <w:spacing w:val="60"/>
          </w:rPr>
          <w:t>Page</w:t>
        </w:r>
      </w:p>
    </w:sdtContent>
  </w:sdt>
  <w:p w14:paraId="22ECB5B0" w14:textId="77777777" w:rsidR="00086A68" w:rsidRDefault="0008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0599" w14:textId="77777777" w:rsidR="00E7790D" w:rsidRDefault="00E7790D" w:rsidP="00086A68">
      <w:pPr>
        <w:spacing w:after="0" w:line="240" w:lineRule="auto"/>
      </w:pPr>
      <w:r>
        <w:separator/>
      </w:r>
    </w:p>
  </w:footnote>
  <w:footnote w:type="continuationSeparator" w:id="0">
    <w:p w14:paraId="78234C90" w14:textId="77777777" w:rsidR="00E7790D" w:rsidRDefault="00E7790D" w:rsidP="0008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8BD1" w14:textId="4B34B47F" w:rsidR="00086A68" w:rsidRPr="002A757D" w:rsidRDefault="00086A68" w:rsidP="00086A68">
    <w:pPr>
      <w:spacing w:after="0" w:line="240" w:lineRule="auto"/>
      <w:jc w:val="center"/>
      <w:rPr>
        <w:rFonts w:asciiTheme="minorHAnsi" w:hAnsiTheme="minorHAnsi" w:cstheme="minorHAnsi"/>
        <w:b/>
      </w:rPr>
    </w:pPr>
    <w:r w:rsidRPr="002A757D">
      <w:rPr>
        <w:rFonts w:asciiTheme="minorHAnsi" w:hAnsiTheme="minorHAnsi" w:cstheme="minorHAnsi"/>
        <w:b/>
      </w:rPr>
      <w:t>Universal Provision</w:t>
    </w:r>
  </w:p>
  <w:p w14:paraId="548084A6" w14:textId="08E4C3B5" w:rsidR="00086A68" w:rsidRDefault="00086A68" w:rsidP="00086A68">
    <w:pPr>
      <w:pStyle w:val="Header"/>
      <w:jc w:val="center"/>
    </w:pPr>
    <w:r>
      <w:rPr>
        <w:rFonts w:asciiTheme="minorHAnsi" w:hAnsiTheme="minorHAnsi" w:cstheme="minorHAnsi"/>
        <w:b/>
      </w:rPr>
      <w:t>Swindon</w:t>
    </w:r>
    <w:r w:rsidRPr="002A757D">
      <w:rPr>
        <w:rFonts w:asciiTheme="minorHAnsi" w:hAnsiTheme="minorHAnsi" w:cstheme="minorHAnsi"/>
        <w:b/>
      </w:rPr>
      <w:t xml:space="preserve"> Colleges and Post 16 provisions will offer to all learners:</w:t>
    </w:r>
  </w:p>
  <w:p w14:paraId="76177973" w14:textId="77777777" w:rsidR="00086A68" w:rsidRDefault="00086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22"/>
    <w:rsid w:val="00000239"/>
    <w:rsid w:val="000273C0"/>
    <w:rsid w:val="00041846"/>
    <w:rsid w:val="00086A68"/>
    <w:rsid w:val="0015063B"/>
    <w:rsid w:val="00173783"/>
    <w:rsid w:val="00180795"/>
    <w:rsid w:val="00195AFF"/>
    <w:rsid w:val="001B7987"/>
    <w:rsid w:val="001F7380"/>
    <w:rsid w:val="002015AB"/>
    <w:rsid w:val="00242E67"/>
    <w:rsid w:val="00291652"/>
    <w:rsid w:val="00296C5F"/>
    <w:rsid w:val="002A757D"/>
    <w:rsid w:val="002E7A56"/>
    <w:rsid w:val="00364F00"/>
    <w:rsid w:val="00377C79"/>
    <w:rsid w:val="003C2522"/>
    <w:rsid w:val="003C3945"/>
    <w:rsid w:val="004003C7"/>
    <w:rsid w:val="00463C89"/>
    <w:rsid w:val="004937AE"/>
    <w:rsid w:val="004B4657"/>
    <w:rsid w:val="004F067A"/>
    <w:rsid w:val="005026CB"/>
    <w:rsid w:val="005040B7"/>
    <w:rsid w:val="00584430"/>
    <w:rsid w:val="00587A21"/>
    <w:rsid w:val="005D7DD9"/>
    <w:rsid w:val="005E085F"/>
    <w:rsid w:val="005E6A8B"/>
    <w:rsid w:val="00612EE6"/>
    <w:rsid w:val="00656822"/>
    <w:rsid w:val="00685F34"/>
    <w:rsid w:val="00687A28"/>
    <w:rsid w:val="006B156B"/>
    <w:rsid w:val="006D3BDE"/>
    <w:rsid w:val="006F20FC"/>
    <w:rsid w:val="006F60E2"/>
    <w:rsid w:val="0070661E"/>
    <w:rsid w:val="007135E0"/>
    <w:rsid w:val="00747742"/>
    <w:rsid w:val="00820CB5"/>
    <w:rsid w:val="008230F6"/>
    <w:rsid w:val="008805D5"/>
    <w:rsid w:val="008B6F22"/>
    <w:rsid w:val="00917A07"/>
    <w:rsid w:val="00961A9D"/>
    <w:rsid w:val="00973DBD"/>
    <w:rsid w:val="009C0936"/>
    <w:rsid w:val="009D0C46"/>
    <w:rsid w:val="009F5576"/>
    <w:rsid w:val="00A00301"/>
    <w:rsid w:val="00A4041B"/>
    <w:rsid w:val="00A4696C"/>
    <w:rsid w:val="00A631BA"/>
    <w:rsid w:val="00A769EA"/>
    <w:rsid w:val="00AA1625"/>
    <w:rsid w:val="00B37FC7"/>
    <w:rsid w:val="00B73E4E"/>
    <w:rsid w:val="00C13EF8"/>
    <w:rsid w:val="00C20EA8"/>
    <w:rsid w:val="00C41495"/>
    <w:rsid w:val="00C447C4"/>
    <w:rsid w:val="00CA0C77"/>
    <w:rsid w:val="00CA0E47"/>
    <w:rsid w:val="00CC7583"/>
    <w:rsid w:val="00CF268F"/>
    <w:rsid w:val="00D47E0F"/>
    <w:rsid w:val="00D53DBA"/>
    <w:rsid w:val="00D72561"/>
    <w:rsid w:val="00D80E13"/>
    <w:rsid w:val="00D816A3"/>
    <w:rsid w:val="00DD0B8D"/>
    <w:rsid w:val="00E767A8"/>
    <w:rsid w:val="00E7790D"/>
    <w:rsid w:val="00EF51E2"/>
    <w:rsid w:val="00F165D5"/>
    <w:rsid w:val="00F34B01"/>
    <w:rsid w:val="00F472A9"/>
    <w:rsid w:val="00FA0F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5181"/>
  <w15:docId w15:val="{27BA460A-B4A1-4F88-B241-C793134B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0F6"/>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82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A68"/>
  </w:style>
  <w:style w:type="paragraph" w:styleId="Footer">
    <w:name w:val="footer"/>
    <w:basedOn w:val="Normal"/>
    <w:link w:val="FooterChar"/>
    <w:uiPriority w:val="99"/>
    <w:unhideWhenUsed/>
    <w:rsid w:val="0008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311">
      <w:bodyDiv w:val="1"/>
      <w:marLeft w:val="0"/>
      <w:marRight w:val="0"/>
      <w:marTop w:val="0"/>
      <w:marBottom w:val="0"/>
      <w:divBdr>
        <w:top w:val="none" w:sz="0" w:space="0" w:color="auto"/>
        <w:left w:val="none" w:sz="0" w:space="0" w:color="auto"/>
        <w:bottom w:val="none" w:sz="0" w:space="0" w:color="auto"/>
        <w:right w:val="none" w:sz="0" w:space="0" w:color="auto"/>
      </w:divBdr>
    </w:div>
    <w:div w:id="2106804008">
      <w:bodyDiv w:val="1"/>
      <w:marLeft w:val="0"/>
      <w:marRight w:val="0"/>
      <w:marTop w:val="0"/>
      <w:marBottom w:val="0"/>
      <w:divBdr>
        <w:top w:val="none" w:sz="0" w:space="0" w:color="auto"/>
        <w:left w:val="none" w:sz="0" w:space="0" w:color="auto"/>
        <w:bottom w:val="none" w:sz="0" w:space="0" w:color="auto"/>
        <w:right w:val="none" w:sz="0" w:space="0" w:color="auto"/>
      </w:divBdr>
      <w:divsChild>
        <w:div w:id="413627539">
          <w:marLeft w:val="0"/>
          <w:marRight w:val="0"/>
          <w:marTop w:val="0"/>
          <w:marBottom w:val="0"/>
          <w:divBdr>
            <w:top w:val="none" w:sz="0" w:space="0" w:color="auto"/>
            <w:left w:val="none" w:sz="0" w:space="0" w:color="auto"/>
            <w:bottom w:val="none" w:sz="0" w:space="0" w:color="auto"/>
            <w:right w:val="none" w:sz="0" w:space="0" w:color="auto"/>
          </w:divBdr>
        </w:div>
        <w:div w:id="1379207862">
          <w:marLeft w:val="0"/>
          <w:marRight w:val="0"/>
          <w:marTop w:val="0"/>
          <w:marBottom w:val="0"/>
          <w:divBdr>
            <w:top w:val="none" w:sz="0" w:space="0" w:color="auto"/>
            <w:left w:val="none" w:sz="0" w:space="0" w:color="auto"/>
            <w:bottom w:val="none" w:sz="0" w:space="0" w:color="auto"/>
            <w:right w:val="none" w:sz="0" w:space="0" w:color="auto"/>
          </w:divBdr>
        </w:div>
        <w:div w:id="2110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0B8D-76C9-486F-8270-4B0910C530F1}">
  <ds:schemaRefs>
    <ds:schemaRef ds:uri="http://schemas.microsoft.com/sharepoint/v3/contenttype/forms"/>
  </ds:schemaRefs>
</ds:datastoreItem>
</file>

<file path=customXml/itemProps2.xml><?xml version="1.0" encoding="utf-8"?>
<ds:datastoreItem xmlns:ds="http://schemas.openxmlformats.org/officeDocument/2006/customXml" ds:itemID="{BB096AA8-93E0-4752-8B16-4E1D18CD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BB8CC7-012F-4AF4-95B2-B5078DCC01B3}">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5A3DB5-BDB2-461F-8EFA-F7ECF11C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Post 16 SEND Provision Matrix April 2017</vt:lpstr>
    </vt:vector>
  </TitlesOfParts>
  <Company>Warwickshire County Council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SEND Provision Matrix April 2017</dc:title>
  <dc:creator>Karen Grant</dc:creator>
  <cp:lastModifiedBy>Kevin Gill</cp:lastModifiedBy>
  <cp:revision>2</cp:revision>
  <dcterms:created xsi:type="dcterms:W3CDTF">2023-12-04T23:14:00Z</dcterms:created>
  <dcterms:modified xsi:type="dcterms:W3CDTF">2023-12-04T23:14:00Z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0x0101007AD5FAA4F5D5DB488C409385EA45E2EA</vt:lpwstr>
  </property>
  <property fmtid="{D5CDD505-2E9C-101B-9397-08002B2CF9AE}" pid="3" name="WCCCoverage">
    <vt:lpwstr>2;#Warwickshire|ae50136a-0dd2-4024-b418-b2091d7c47d2</vt:lpwstr>
  </property>
  <property fmtid="{D5CDD505-2E9C-101B-9397-08002B2CF9AE}" pid="4" name="TeamOwner">
    <vt:lpwstr>734;#SENDAR|5b26e1e1-2a2d-4865-9b99-d665d08add7f</vt:lpwstr>
  </property>
  <property fmtid="{D5CDD505-2E9C-101B-9397-08002B2CF9AE}" pid="5" name="WCCSubject">
    <vt:lpwstr>21;#Adult Social Care|37774d10-b713-4628-a8c7-59128139cc7c</vt:lpwstr>
  </property>
  <property fmtid="{D5CDD505-2E9C-101B-9397-08002B2CF9AE}" pid="6" name="WCCKeywords">
    <vt:lpwstr>627;#Advice|5d68bfe0-8213-4233-bdc2-2e7ad8d4659f;#576;#Disability|524dfee2-9e76-4530-841d-504e25b3a0dc;#580;#Children|4759bcdb-45b2-4a9c-9b05-32374c69befe;#487;#Families|166d7575-cfdd-491b-bed0-f54a2530fd4d;#486;#Financial Help|1988c308-4643-4e7b-93f2-e9f</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15;#Guide|f7c85ebf-e50f-469e-9dde-377912e16d9f</vt:lpwstr>
  </property>
  <property fmtid="{D5CDD505-2E9C-101B-9397-08002B2CF9AE}" pid="12" name="_dlc_DocIdItemGuid">
    <vt:lpwstr>3b56559f-a210-4136-9006-5fa0f9f9f783</vt:lpwstr>
  </property>
  <property fmtid="{D5CDD505-2E9C-101B-9397-08002B2CF9AE}" pid="13" name="WorkflowChangePath">
    <vt:lpwstr>3d9cc3ba-7024-41b1-8d91-4abeda42ed5f,5;3d9cc3ba-7024-41b1-8d91-4abeda42ed5f,5;</vt:lpwstr>
  </property>
</Properties>
</file>